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ind w:left="1440" w:hanging="720"/>
        <w:jc w:val="center"/>
        <w:rPr>
          <w:rFonts w:ascii="Arial" w:cs="Arial" w:eastAsia="Arial" w:hAnsi="Arial"/>
          <w:sz w:val="24"/>
          <w:szCs w:val="24"/>
        </w:rPr>
      </w:pPr>
      <w:bookmarkStart w:colFirst="0" w:colLast="0" w:name="_3ep43zb" w:id="0"/>
      <w:bookmarkEnd w:id="0"/>
      <w:r w:rsidDel="00000000" w:rsidR="00000000" w:rsidRPr="00000000">
        <w:rPr>
          <w:rFonts w:ascii="Arial" w:cs="Arial" w:eastAsia="Arial" w:hAnsi="Arial"/>
          <w:sz w:val="24"/>
          <w:szCs w:val="24"/>
          <w:rtl w:val="0"/>
        </w:rPr>
        <w:t xml:space="preserve">Citizens Advice South Warwickshire Proxy</w:t>
      </w:r>
    </w:p>
    <w:p w:rsidR="00000000" w:rsidDel="00000000" w:rsidP="00000000" w:rsidRDefault="00000000" w:rsidRPr="00000000" w14:paraId="00000002">
      <w:pPr>
        <w:pageBreakBefore w:val="0"/>
        <w:spacing w:after="240" w:lineRule="auto"/>
        <w:ind w:left="720" w:firstLine="0"/>
        <w:jc w:val="both"/>
        <w:rPr>
          <w:rFonts w:ascii="Arial" w:cs="Arial" w:eastAsia="Arial" w:hAnsi="Arial"/>
          <w:sz w:val="24"/>
          <w:szCs w:val="24"/>
        </w:rPr>
      </w:pPr>
      <w:bookmarkStart w:colFirst="0" w:colLast="0" w:name="_1tuee74" w:id="1"/>
      <w:bookmarkEnd w:id="1"/>
      <w:r w:rsidDel="00000000" w:rsidR="00000000" w:rsidRPr="00000000">
        <w:rPr>
          <w:rFonts w:ascii="Arial" w:cs="Arial" w:eastAsia="Arial" w:hAnsi="Arial"/>
          <w:b w:val="1"/>
          <w:sz w:val="24"/>
          <w:szCs w:val="24"/>
          <w:rtl w:val="0"/>
        </w:rPr>
        <w:t xml:space="preserve">Name of member appointing the proxy: </w:t>
        <w:br w:type="textWrapping"/>
        <w:br w:type="textWrapping"/>
        <w:t xml:space="preserve">……………………………………………………..</w:t>
      </w:r>
      <w:r w:rsidDel="00000000" w:rsidR="00000000" w:rsidRPr="00000000">
        <w:rPr>
          <w:rtl w:val="0"/>
        </w:rPr>
      </w:r>
    </w:p>
    <w:p w:rsidR="00000000" w:rsidDel="00000000" w:rsidP="00000000" w:rsidRDefault="00000000" w:rsidRPr="00000000" w14:paraId="00000003">
      <w:pPr>
        <w:pageBreakBefore w:val="0"/>
        <w:spacing w:after="240" w:lineRule="auto"/>
        <w:ind w:left="720" w:firstLine="0"/>
        <w:jc w:val="both"/>
        <w:rPr>
          <w:rFonts w:ascii="Arial" w:cs="Arial" w:eastAsia="Arial" w:hAnsi="Arial"/>
          <w:sz w:val="24"/>
          <w:szCs w:val="24"/>
        </w:rPr>
      </w:pPr>
      <w:bookmarkStart w:colFirst="0" w:colLast="0" w:name="_4du1wux" w:id="2"/>
      <w:bookmarkEnd w:id="2"/>
      <w:r w:rsidDel="00000000" w:rsidR="00000000" w:rsidRPr="00000000">
        <w:rPr>
          <w:rFonts w:ascii="Arial" w:cs="Arial" w:eastAsia="Arial" w:hAnsi="Arial"/>
          <w:b w:val="1"/>
          <w:sz w:val="24"/>
          <w:szCs w:val="24"/>
          <w:rtl w:val="0"/>
        </w:rPr>
        <w:t xml:space="preserve">Address:</w:t>
        <w:br w:type="textWrapping"/>
        <w:br w:type="textWrapping"/>
        <w:t xml:space="preserve">……………………………………………………………………………………………………...</w:t>
      </w:r>
      <w:r w:rsidDel="00000000" w:rsidR="00000000" w:rsidRPr="00000000">
        <w:rPr>
          <w:rtl w:val="0"/>
        </w:rPr>
      </w:r>
    </w:p>
    <w:p w:rsidR="00000000" w:rsidDel="00000000" w:rsidP="00000000" w:rsidRDefault="00000000" w:rsidRPr="00000000" w14:paraId="00000004">
      <w:pPr>
        <w:pageBreakBefore w:val="0"/>
        <w:spacing w:after="240" w:lineRule="auto"/>
        <w:ind w:left="720" w:right="298.34645669291376" w:firstLine="0"/>
        <w:jc w:val="both"/>
        <w:rPr>
          <w:rFonts w:ascii="Arial" w:cs="Arial" w:eastAsia="Arial" w:hAnsi="Arial"/>
          <w:sz w:val="24"/>
          <w:szCs w:val="24"/>
        </w:rPr>
      </w:pPr>
      <w:bookmarkStart w:colFirst="0" w:colLast="0" w:name="_2szc72q" w:id="3"/>
      <w:bookmarkEnd w:id="3"/>
      <w:r w:rsidDel="00000000" w:rsidR="00000000" w:rsidRPr="00000000">
        <w:rPr>
          <w:rFonts w:ascii="Arial" w:cs="Arial" w:eastAsia="Arial" w:hAnsi="Arial"/>
          <w:b w:val="1"/>
          <w:sz w:val="24"/>
          <w:szCs w:val="24"/>
          <w:rtl w:val="0"/>
        </w:rPr>
        <w:t xml:space="preserve">I/We hereby appoint the Chair of the AGM meeting of Citizens Advice South Warwickshire, 10 Hamilton Terrace CV32 4LY, as my/our proxy to vote in my/our name and on my/our behalf at the meeting of the Charity to be held on 18th of November 2021, and at any adjournment of the meeting.</w:t>
      </w:r>
      <w:r w:rsidDel="00000000" w:rsidR="00000000" w:rsidRPr="00000000">
        <w:rPr>
          <w:rtl w:val="0"/>
        </w:rPr>
      </w:r>
    </w:p>
    <w:p w:rsidR="00000000" w:rsidDel="00000000" w:rsidP="00000000" w:rsidRDefault="00000000" w:rsidRPr="00000000" w14:paraId="00000005">
      <w:pPr>
        <w:pageBreakBefore w:val="0"/>
        <w:spacing w:after="240" w:lineRule="auto"/>
        <w:ind w:left="72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This form is to be used in respect of the resolutions mentioned below as follows:</w:t>
      </w:r>
      <w:r w:rsidDel="00000000" w:rsidR="00000000" w:rsidRPr="00000000">
        <w:rPr>
          <w:rtl w:val="0"/>
        </w:rPr>
      </w:r>
    </w:p>
    <w:tbl>
      <w:tblPr>
        <w:tblStyle w:val="Table1"/>
        <w:tblW w:w="9675.0" w:type="dxa"/>
        <w:jc w:val="left"/>
        <w:tblInd w:w="8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0"/>
        <w:gridCol w:w="750"/>
        <w:gridCol w:w="1125"/>
        <w:gridCol w:w="1230"/>
        <w:gridCol w:w="1800"/>
        <w:tblGridChange w:id="0">
          <w:tblGrid>
            <w:gridCol w:w="4770"/>
            <w:gridCol w:w="750"/>
            <w:gridCol w:w="1125"/>
            <w:gridCol w:w="1230"/>
            <w:gridCol w:w="1800"/>
          </w:tblGrid>
        </w:tblGridChange>
      </w:tblGrid>
      <w:tr>
        <w:trPr>
          <w:cantSplit w:val="0"/>
          <w:tblHeader w:val="0"/>
        </w:trPr>
        <w:tc>
          <w:tcPr>
            <w:vAlign w:val="top"/>
          </w:tcPr>
          <w:p w:rsidR="00000000" w:rsidDel="00000000" w:rsidP="00000000" w:rsidRDefault="00000000" w:rsidRPr="00000000" w14:paraId="00000006">
            <w:pPr>
              <w:pageBreakBefore w:val="0"/>
              <w:spacing w:after="240" w:lineRule="auto"/>
              <w:jc w:val="both"/>
              <w:rPr>
                <w:rFonts w:ascii="Open Sans" w:cs="Open Sans" w:eastAsia="Open Sans" w:hAnsi="Open Sans"/>
                <w:sz w:val="22"/>
                <w:szCs w:val="22"/>
              </w:rPr>
            </w:pPr>
            <w:r w:rsidDel="00000000" w:rsidR="00000000" w:rsidRPr="00000000">
              <w:rPr>
                <w:rFonts w:ascii="Arial" w:cs="Arial" w:eastAsia="Arial" w:hAnsi="Arial"/>
                <w:b w:val="1"/>
                <w:sz w:val="24"/>
                <w:szCs w:val="24"/>
                <w:rtl w:val="0"/>
              </w:rPr>
              <w:t xml:space="preserve">Resolution 1:</w:t>
              <w:br w:type="textWrapping"/>
            </w:r>
            <w:r w:rsidDel="00000000" w:rsidR="00000000" w:rsidRPr="00000000">
              <w:rPr>
                <w:rFonts w:ascii="Open Sans" w:cs="Open Sans" w:eastAsia="Open Sans" w:hAnsi="Open Sans"/>
                <w:sz w:val="22"/>
                <w:szCs w:val="22"/>
                <w:rtl w:val="0"/>
              </w:rPr>
              <w:t xml:space="preserve">To adopt the Minutes of the meeting held on 10th November 2020</w:t>
            </w:r>
          </w:p>
          <w:p w:rsidR="00000000" w:rsidDel="00000000" w:rsidP="00000000" w:rsidRDefault="00000000" w:rsidRPr="00000000" w14:paraId="00000007">
            <w:pPr>
              <w:pageBreakBefore w:val="0"/>
              <w:spacing w:after="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Proposed by Yvonne Hunter</w:t>
            </w:r>
          </w:p>
          <w:p w:rsidR="00000000" w:rsidDel="00000000" w:rsidP="00000000" w:rsidRDefault="00000000" w:rsidRPr="00000000" w14:paraId="00000008">
            <w:pPr>
              <w:pageBreakBefore w:val="0"/>
              <w:spacing w:after="240" w:lineRule="auto"/>
              <w:jc w:val="both"/>
              <w:rPr>
                <w:rFonts w:ascii="Arial" w:cs="Arial" w:eastAsia="Arial" w:hAnsi="Arial"/>
                <w:sz w:val="24"/>
                <w:szCs w:val="24"/>
              </w:rPr>
            </w:pPr>
            <w:r w:rsidDel="00000000" w:rsidR="00000000" w:rsidRPr="00000000">
              <w:rPr>
                <w:rFonts w:ascii="Open Sans" w:cs="Open Sans" w:eastAsia="Open Sans" w:hAnsi="Open Sans"/>
                <w:sz w:val="22"/>
                <w:szCs w:val="22"/>
                <w:rtl w:val="0"/>
              </w:rPr>
              <w:t xml:space="preserve">Seconded by John Daly </w:t>
            </w:r>
            <w:r w:rsidDel="00000000" w:rsidR="00000000" w:rsidRPr="00000000">
              <w:rPr>
                <w:rtl w:val="0"/>
              </w:rPr>
            </w:r>
          </w:p>
        </w:tc>
        <w:tc>
          <w:tcPr>
            <w:vAlign w:val="top"/>
          </w:tcPr>
          <w:p w:rsidR="00000000" w:rsidDel="00000000" w:rsidP="00000000" w:rsidRDefault="00000000" w:rsidRPr="00000000" w14:paraId="00000009">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w:t>
            </w:r>
          </w:p>
        </w:tc>
        <w:tc>
          <w:tcPr>
            <w:vAlign w:val="top"/>
          </w:tcPr>
          <w:p w:rsidR="00000000" w:rsidDel="00000000" w:rsidP="00000000" w:rsidRDefault="00000000" w:rsidRPr="00000000" w14:paraId="0000000A">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*against</w:t>
            </w:r>
          </w:p>
        </w:tc>
        <w:tc>
          <w:tcPr>
            <w:vAlign w:val="top"/>
          </w:tcPr>
          <w:p w:rsidR="00000000" w:rsidDel="00000000" w:rsidP="00000000" w:rsidRDefault="00000000" w:rsidRPr="00000000" w14:paraId="0000000B">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*abstain</w:t>
            </w:r>
          </w:p>
        </w:tc>
        <w:tc>
          <w:tcPr>
            <w:vAlign w:val="top"/>
          </w:tcPr>
          <w:p w:rsidR="00000000" w:rsidDel="00000000" w:rsidP="00000000" w:rsidRDefault="00000000" w:rsidRPr="00000000" w14:paraId="0000000C">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proxy thinks fit</w:t>
            </w:r>
          </w:p>
        </w:tc>
      </w:tr>
      <w:tr>
        <w:trPr>
          <w:cantSplit w:val="0"/>
          <w:tblHeader w:val="0"/>
        </w:trPr>
        <w:tc>
          <w:tcPr>
            <w:vAlign w:val="top"/>
          </w:tcPr>
          <w:p w:rsidR="00000000" w:rsidDel="00000000" w:rsidP="00000000" w:rsidRDefault="00000000" w:rsidRPr="00000000" w14:paraId="0000000D">
            <w:pPr>
              <w:pageBreakBefore w:val="0"/>
              <w:spacing w:after="240" w:lineRule="auto"/>
              <w:jc w:val="both"/>
              <w:rPr>
                <w:rFonts w:ascii="Open Sans" w:cs="Open Sans" w:eastAsia="Open Sans" w:hAnsi="Open Sans"/>
                <w:sz w:val="22"/>
                <w:szCs w:val="22"/>
              </w:rPr>
            </w:pPr>
            <w:r w:rsidDel="00000000" w:rsidR="00000000" w:rsidRPr="00000000">
              <w:rPr>
                <w:rFonts w:ascii="Arial" w:cs="Arial" w:eastAsia="Arial" w:hAnsi="Arial"/>
                <w:b w:val="1"/>
                <w:sz w:val="24"/>
                <w:szCs w:val="24"/>
                <w:rtl w:val="0"/>
              </w:rPr>
              <w:t xml:space="preserve">Resolution 2: </w:t>
              <w:br w:type="textWrapping"/>
            </w:r>
            <w:r w:rsidDel="00000000" w:rsidR="00000000" w:rsidRPr="00000000">
              <w:rPr>
                <w:rFonts w:ascii="Open Sans" w:cs="Open Sans" w:eastAsia="Open Sans" w:hAnsi="Open Sans"/>
                <w:sz w:val="22"/>
                <w:szCs w:val="22"/>
                <w:rtl w:val="0"/>
              </w:rPr>
              <w:t xml:space="preserve">To receive and adopt the Report of the Directors and Trustees and Financial Statements for the year ending 31 March 2021, together with the Independent Examiner’s Report.</w:t>
            </w:r>
          </w:p>
          <w:p w:rsidR="00000000" w:rsidDel="00000000" w:rsidP="00000000" w:rsidRDefault="00000000" w:rsidRPr="00000000" w14:paraId="0000000E">
            <w:pPr>
              <w:pageBreakBefore w:val="0"/>
              <w:spacing w:after="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Proposed by Yvonne Hunter</w:t>
            </w:r>
          </w:p>
          <w:p w:rsidR="00000000" w:rsidDel="00000000" w:rsidP="00000000" w:rsidRDefault="00000000" w:rsidRPr="00000000" w14:paraId="0000000F">
            <w:pPr>
              <w:pageBreakBefore w:val="0"/>
              <w:spacing w:after="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Seconded by John Daly</w:t>
            </w:r>
          </w:p>
        </w:tc>
        <w:tc>
          <w:tcPr>
            <w:vAlign w:val="top"/>
          </w:tcPr>
          <w:p w:rsidR="00000000" w:rsidDel="00000000" w:rsidP="00000000" w:rsidRDefault="00000000" w:rsidRPr="00000000" w14:paraId="00000010">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w:t>
            </w:r>
          </w:p>
        </w:tc>
        <w:tc>
          <w:tcPr>
            <w:vAlign w:val="top"/>
          </w:tcPr>
          <w:p w:rsidR="00000000" w:rsidDel="00000000" w:rsidP="00000000" w:rsidRDefault="00000000" w:rsidRPr="00000000" w14:paraId="00000011">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*against</w:t>
            </w:r>
          </w:p>
        </w:tc>
        <w:tc>
          <w:tcPr>
            <w:vAlign w:val="top"/>
          </w:tcPr>
          <w:p w:rsidR="00000000" w:rsidDel="00000000" w:rsidP="00000000" w:rsidRDefault="00000000" w:rsidRPr="00000000" w14:paraId="00000012">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*abstain</w:t>
            </w:r>
          </w:p>
        </w:tc>
        <w:tc>
          <w:tcPr>
            <w:vAlign w:val="top"/>
          </w:tcPr>
          <w:p w:rsidR="00000000" w:rsidDel="00000000" w:rsidP="00000000" w:rsidRDefault="00000000" w:rsidRPr="00000000" w14:paraId="00000013">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proxy thinks fit</w:t>
            </w:r>
          </w:p>
        </w:tc>
      </w:tr>
      <w:tr>
        <w:trPr>
          <w:cantSplit w:val="0"/>
          <w:tblHeader w:val="0"/>
        </w:trPr>
        <w:tc>
          <w:tcPr>
            <w:vAlign w:val="top"/>
          </w:tcPr>
          <w:p w:rsidR="00000000" w:rsidDel="00000000" w:rsidP="00000000" w:rsidRDefault="00000000" w:rsidRPr="00000000" w14:paraId="00000014">
            <w:pPr>
              <w:pageBreakBefore w:val="0"/>
              <w:spacing w:after="240" w:lineRule="auto"/>
              <w:jc w:val="both"/>
              <w:rPr>
                <w:rFonts w:ascii="Open Sans" w:cs="Open Sans" w:eastAsia="Open Sans" w:hAnsi="Open Sans"/>
                <w:sz w:val="22"/>
                <w:szCs w:val="22"/>
              </w:rPr>
            </w:pPr>
            <w:r w:rsidDel="00000000" w:rsidR="00000000" w:rsidRPr="00000000">
              <w:rPr>
                <w:rFonts w:ascii="Arial" w:cs="Arial" w:eastAsia="Arial" w:hAnsi="Arial"/>
                <w:b w:val="1"/>
                <w:sz w:val="24"/>
                <w:szCs w:val="24"/>
                <w:rtl w:val="0"/>
              </w:rPr>
              <w:t xml:space="preserve">Resolution 3: </w:t>
            </w:r>
            <w:r w:rsidDel="00000000" w:rsidR="00000000" w:rsidRPr="00000000">
              <w:rPr>
                <w:rFonts w:ascii="Arial" w:cs="Arial" w:eastAsia="Arial" w:hAnsi="Arial"/>
                <w:sz w:val="24"/>
                <w:szCs w:val="24"/>
                <w:rtl w:val="0"/>
              </w:rPr>
              <w:br w:type="textWrapping"/>
            </w:r>
            <w:r w:rsidDel="00000000" w:rsidR="00000000" w:rsidRPr="00000000">
              <w:rPr>
                <w:rFonts w:ascii="Open Sans" w:cs="Open Sans" w:eastAsia="Open Sans" w:hAnsi="Open Sans"/>
                <w:sz w:val="22"/>
                <w:szCs w:val="22"/>
                <w:rtl w:val="0"/>
              </w:rPr>
              <w:t xml:space="preserve">To appoint Burgis and Bullock as the Independent Examiners and to authorise the Trustees to fix their remuneration.</w:t>
            </w:r>
          </w:p>
          <w:p w:rsidR="00000000" w:rsidDel="00000000" w:rsidP="00000000" w:rsidRDefault="00000000" w:rsidRPr="00000000" w14:paraId="00000015">
            <w:pPr>
              <w:pageBreakBefore w:val="0"/>
              <w:spacing w:after="240" w:lineRule="auto"/>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Proposed by Helen Serrano</w:t>
            </w:r>
          </w:p>
          <w:p w:rsidR="00000000" w:rsidDel="00000000" w:rsidP="00000000" w:rsidRDefault="00000000" w:rsidRPr="00000000" w14:paraId="00000016">
            <w:pPr>
              <w:pageBreakBefore w:val="0"/>
              <w:spacing w:after="240" w:lineRule="auto"/>
              <w:jc w:val="both"/>
              <w:rPr>
                <w:rFonts w:ascii="Arial" w:cs="Arial" w:eastAsia="Arial" w:hAnsi="Arial"/>
                <w:sz w:val="24"/>
                <w:szCs w:val="24"/>
              </w:rPr>
            </w:pPr>
            <w:r w:rsidDel="00000000" w:rsidR="00000000" w:rsidRPr="00000000">
              <w:rPr>
                <w:rFonts w:ascii="Open Sans" w:cs="Open Sans" w:eastAsia="Open Sans" w:hAnsi="Open Sans"/>
                <w:sz w:val="22"/>
                <w:szCs w:val="22"/>
                <w:rtl w:val="0"/>
              </w:rPr>
              <w:t xml:space="preserve">Seconded by John Plumb   </w:t>
            </w:r>
            <w:r w:rsidDel="00000000" w:rsidR="00000000" w:rsidRPr="00000000">
              <w:rPr>
                <w:rtl w:val="0"/>
              </w:rPr>
            </w:r>
          </w:p>
        </w:tc>
        <w:tc>
          <w:tcPr>
            <w:vAlign w:val="top"/>
          </w:tcPr>
          <w:p w:rsidR="00000000" w:rsidDel="00000000" w:rsidP="00000000" w:rsidRDefault="00000000" w:rsidRPr="00000000" w14:paraId="00000017">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w:t>
            </w:r>
          </w:p>
        </w:tc>
        <w:tc>
          <w:tcPr>
            <w:vAlign w:val="top"/>
          </w:tcPr>
          <w:p w:rsidR="00000000" w:rsidDel="00000000" w:rsidP="00000000" w:rsidRDefault="00000000" w:rsidRPr="00000000" w14:paraId="00000018">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*against</w:t>
            </w:r>
          </w:p>
        </w:tc>
        <w:tc>
          <w:tcPr>
            <w:vAlign w:val="top"/>
          </w:tcPr>
          <w:p w:rsidR="00000000" w:rsidDel="00000000" w:rsidP="00000000" w:rsidRDefault="00000000" w:rsidRPr="00000000" w14:paraId="00000019">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*abstain</w:t>
            </w:r>
          </w:p>
        </w:tc>
        <w:tc>
          <w:tcPr>
            <w:vAlign w:val="top"/>
          </w:tcPr>
          <w:p w:rsidR="00000000" w:rsidDel="00000000" w:rsidP="00000000" w:rsidRDefault="00000000" w:rsidRPr="00000000" w14:paraId="0000001A">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proxy thinks fit</w:t>
            </w:r>
          </w:p>
        </w:tc>
      </w:tr>
      <w:tr>
        <w:trPr>
          <w:cantSplit w:val="0"/>
          <w:tblHeader w:val="0"/>
        </w:trPr>
        <w:tc>
          <w:tcPr>
            <w:vAlign w:val="top"/>
          </w:tcPr>
          <w:p w:rsidR="00000000" w:rsidDel="00000000" w:rsidP="00000000" w:rsidRDefault="00000000" w:rsidRPr="00000000" w14:paraId="0000001B">
            <w:pPr>
              <w:pageBreakBefore w:val="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Resolution 4:</w:t>
              <w:br w:type="textWrapping"/>
            </w:r>
            <w:r w:rsidDel="00000000" w:rsidR="00000000" w:rsidRPr="00000000">
              <w:rPr>
                <w:rFonts w:ascii="Open Sans" w:cs="Open Sans" w:eastAsia="Open Sans" w:hAnsi="Open Sans"/>
                <w:sz w:val="22"/>
                <w:szCs w:val="22"/>
                <w:rtl w:val="0"/>
              </w:rPr>
              <w:t xml:space="preserve">To Re-elect the following as trustee for a three year term: </w:t>
              <w:br w:type="textWrapping"/>
              <w:t xml:space="preserve">John Daly</w:t>
            </w:r>
          </w:p>
          <w:p w:rsidR="00000000" w:rsidDel="00000000" w:rsidP="00000000" w:rsidRDefault="00000000" w:rsidRPr="00000000" w14:paraId="0000001C">
            <w:pPr>
              <w:pageBreakBefore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D">
            <w:pPr>
              <w:pageBreakBefore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Proposed by Yvonne Hunter</w:t>
            </w:r>
          </w:p>
          <w:p w:rsidR="00000000" w:rsidDel="00000000" w:rsidP="00000000" w:rsidRDefault="00000000" w:rsidRPr="00000000" w14:paraId="0000001E">
            <w:pPr>
              <w:pageBreakBefore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Seconded by Irene Stark</w:t>
            </w:r>
            <w:r w:rsidDel="00000000" w:rsidR="00000000" w:rsidRPr="00000000">
              <w:rPr>
                <w:rtl w:val="0"/>
              </w:rPr>
            </w:r>
          </w:p>
          <w:p w:rsidR="00000000" w:rsidDel="00000000" w:rsidP="00000000" w:rsidRDefault="00000000" w:rsidRPr="00000000" w14:paraId="0000001F">
            <w:pPr>
              <w:pageBreakBefore w:val="0"/>
              <w:rPr>
                <w:rFonts w:ascii="Open Sans" w:cs="Open Sans" w:eastAsia="Open Sans" w:hAnsi="Open Sans"/>
                <w:b w:val="1"/>
                <w:sz w:val="22"/>
                <w:szCs w:val="22"/>
              </w:rPr>
            </w:pPr>
            <w:r w:rsidDel="00000000" w:rsidR="00000000" w:rsidRPr="00000000">
              <w:rPr>
                <w:rtl w:val="0"/>
              </w:rPr>
            </w:r>
          </w:p>
        </w:tc>
        <w:tc>
          <w:tcPr>
            <w:vAlign w:val="top"/>
          </w:tcPr>
          <w:p w:rsidR="00000000" w:rsidDel="00000000" w:rsidP="00000000" w:rsidRDefault="00000000" w:rsidRPr="00000000" w14:paraId="00000020">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w:t>
            </w:r>
          </w:p>
        </w:tc>
        <w:tc>
          <w:tcPr>
            <w:vAlign w:val="top"/>
          </w:tcPr>
          <w:p w:rsidR="00000000" w:rsidDel="00000000" w:rsidP="00000000" w:rsidRDefault="00000000" w:rsidRPr="00000000" w14:paraId="00000021">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*against</w:t>
            </w:r>
          </w:p>
        </w:tc>
        <w:tc>
          <w:tcPr>
            <w:vAlign w:val="top"/>
          </w:tcPr>
          <w:p w:rsidR="00000000" w:rsidDel="00000000" w:rsidP="00000000" w:rsidRDefault="00000000" w:rsidRPr="00000000" w14:paraId="00000022">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*abstain</w:t>
            </w:r>
          </w:p>
        </w:tc>
        <w:tc>
          <w:tcPr>
            <w:vAlign w:val="top"/>
          </w:tcPr>
          <w:p w:rsidR="00000000" w:rsidDel="00000000" w:rsidP="00000000" w:rsidRDefault="00000000" w:rsidRPr="00000000" w14:paraId="00000023">
            <w:pPr>
              <w:pageBreakBefore w:val="0"/>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 proxy thinks fit</w:t>
            </w:r>
          </w:p>
        </w:tc>
      </w:tr>
    </w:tbl>
    <w:p w:rsidR="00000000" w:rsidDel="00000000" w:rsidP="00000000" w:rsidRDefault="00000000" w:rsidRPr="00000000" w14:paraId="00000024">
      <w:pPr>
        <w:pageBreakBefore w:val="0"/>
        <w:spacing w:after="240" w:lineRule="auto"/>
        <w:jc w:val="both"/>
        <w:rPr>
          <w:rFonts w:ascii="Arial" w:cs="Arial" w:eastAsia="Arial" w:hAnsi="Arial"/>
          <w:sz w:val="24"/>
          <w:szCs w:val="24"/>
        </w:rPr>
      </w:pPr>
      <w:bookmarkStart w:colFirst="0" w:colLast="0" w:name="_184mhaj" w:id="4"/>
      <w:bookmarkEnd w:id="4"/>
      <w:r w:rsidDel="00000000" w:rsidR="00000000" w:rsidRPr="00000000">
        <w:rPr>
          <w:rtl w:val="0"/>
        </w:rPr>
      </w:r>
    </w:p>
    <w:p w:rsidR="00000000" w:rsidDel="00000000" w:rsidP="00000000" w:rsidRDefault="00000000" w:rsidRPr="00000000" w14:paraId="00000025">
      <w:pPr>
        <w:pageBreakBefore w:val="0"/>
        <w:spacing w:after="240" w:lineRule="auto"/>
        <w:ind w:left="720" w:firstLine="0"/>
        <w:jc w:val="both"/>
        <w:rPr>
          <w:rFonts w:ascii="Arial" w:cs="Arial" w:eastAsia="Arial" w:hAnsi="Arial"/>
          <w:sz w:val="24"/>
          <w:szCs w:val="24"/>
        </w:rPr>
      </w:pPr>
      <w:bookmarkStart w:colFirst="0" w:colLast="0" w:name="_3s49zyc" w:id="5"/>
      <w:bookmarkEnd w:id="5"/>
      <w:r w:rsidDel="00000000" w:rsidR="00000000" w:rsidRPr="00000000">
        <w:rPr>
          <w:rFonts w:ascii="Arial" w:cs="Arial" w:eastAsia="Arial" w:hAnsi="Arial"/>
          <w:b w:val="1"/>
          <w:sz w:val="24"/>
          <w:szCs w:val="24"/>
          <w:rtl w:val="0"/>
        </w:rPr>
        <w:t xml:space="preserve">*Strike out whichever is not desired. If no indication is given, the proxy may vote as he or she thinks fit.</w:t>
      </w:r>
      <w:r w:rsidDel="00000000" w:rsidR="00000000" w:rsidRPr="00000000">
        <w:rPr>
          <w:rtl w:val="0"/>
        </w:rPr>
      </w:r>
    </w:p>
    <w:p w:rsidR="00000000" w:rsidDel="00000000" w:rsidP="00000000" w:rsidRDefault="00000000" w:rsidRPr="00000000" w14:paraId="00000026">
      <w:pPr>
        <w:pageBreakBefore w:val="0"/>
        <w:spacing w:after="240" w:lineRule="auto"/>
        <w:ind w:left="720" w:firstLine="0"/>
        <w:jc w:val="both"/>
        <w:rPr>
          <w:rFonts w:ascii="Arial" w:cs="Arial" w:eastAsia="Arial" w:hAnsi="Arial"/>
          <w:sz w:val="24"/>
          <w:szCs w:val="24"/>
        </w:rPr>
      </w:pPr>
      <w:bookmarkStart w:colFirst="0" w:colLast="0" w:name="_279ka65" w:id="6"/>
      <w:bookmarkEnd w:id="6"/>
      <w:r w:rsidDel="00000000" w:rsidR="00000000" w:rsidRPr="00000000">
        <w:rPr>
          <w:rFonts w:ascii="Arial" w:cs="Arial" w:eastAsia="Arial" w:hAnsi="Arial"/>
          <w:b w:val="1"/>
          <w:sz w:val="24"/>
          <w:szCs w:val="24"/>
          <w:rtl w:val="0"/>
        </w:rPr>
        <w:t xml:space="preserve">Signed: …………………………………….</w:t>
      </w:r>
      <w:r w:rsidDel="00000000" w:rsidR="00000000" w:rsidRPr="00000000">
        <w:rPr>
          <w:rtl w:val="0"/>
        </w:rPr>
      </w:r>
    </w:p>
    <w:p w:rsidR="00000000" w:rsidDel="00000000" w:rsidP="00000000" w:rsidRDefault="00000000" w:rsidRPr="00000000" w14:paraId="00000027">
      <w:pPr>
        <w:pageBreakBefore w:val="0"/>
        <w:spacing w:after="240" w:lineRule="auto"/>
        <w:ind w:left="720" w:right="298.34645669291376" w:firstLine="0"/>
        <w:jc w:val="both"/>
        <w:rPr>
          <w:rFonts w:ascii="Arial" w:cs="Arial" w:eastAsia="Arial" w:hAnsi="Arial"/>
          <w:sz w:val="24"/>
          <w:szCs w:val="24"/>
        </w:rPr>
      </w:pPr>
      <w:bookmarkStart w:colFirst="0" w:colLast="0" w:name="_meukdy" w:id="7"/>
      <w:bookmarkEnd w:id="7"/>
      <w:r w:rsidDel="00000000" w:rsidR="00000000" w:rsidRPr="00000000">
        <w:rPr>
          <w:rFonts w:ascii="Arial" w:cs="Arial" w:eastAsia="Arial" w:hAnsi="Arial"/>
          <w:b w:val="1"/>
          <w:sz w:val="24"/>
          <w:szCs w:val="24"/>
          <w:rtl w:val="0"/>
        </w:rPr>
        <w:t xml:space="preserve">Dated:……………………...………………</w:t>
      </w:r>
      <w:r w:rsidDel="00000000" w:rsidR="00000000" w:rsidRPr="00000000">
        <w:rPr>
          <w:rtl w:val="0"/>
        </w:rPr>
      </w:r>
    </w:p>
    <w:p w:rsidR="00000000" w:rsidDel="00000000" w:rsidP="00000000" w:rsidRDefault="00000000" w:rsidRPr="00000000" w14:paraId="00000028">
      <w:pPr>
        <w:pageBreakBefore w:val="0"/>
        <w:spacing w:before="16" w:lineRule="auto"/>
        <w:ind w:left="872.0000000000002" w:right="732" w:firstLine="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9">
      <w:pPr>
        <w:pageBreakBefore w:val="0"/>
        <w:spacing w:before="16" w:lineRule="auto"/>
        <w:ind w:left="872.0000000000002" w:right="732"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Proxy appointment forms must be delivered to Citizens Advice South Warwickshire (the Charity) in accordance with the provisions of its Articles concerned with delivery of communications to the Charity and shall be so delivered:</w:t>
        <w:br w:type="textWrapping"/>
      </w:r>
    </w:p>
    <w:p w:rsidR="00000000" w:rsidDel="00000000" w:rsidP="00000000" w:rsidRDefault="00000000" w:rsidRPr="00000000" w14:paraId="0000002A">
      <w:pPr>
        <w:pageBreakBefore w:val="0"/>
        <w:numPr>
          <w:ilvl w:val="0"/>
          <w:numId w:val="1"/>
        </w:numPr>
        <w:spacing w:after="0" w:afterAutospacing="0" w:before="16" w:lineRule="auto"/>
        <w:ind w:left="1440" w:right="732"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At least 48 hours before the time for holding the meeting or adjourned meeting at which the person named in the form proposes to vote - in this case by </w:t>
      </w:r>
      <w:r w:rsidDel="00000000" w:rsidR="00000000" w:rsidRPr="00000000">
        <w:rPr>
          <w:rFonts w:ascii="Open Sans" w:cs="Open Sans" w:eastAsia="Open Sans" w:hAnsi="Open Sans"/>
          <w:b w:val="1"/>
          <w:sz w:val="22"/>
          <w:szCs w:val="22"/>
          <w:rtl w:val="0"/>
        </w:rPr>
        <w:t xml:space="preserve">17.00 on Monday 15th November 2021.</w:t>
      </w:r>
    </w:p>
    <w:p w:rsidR="00000000" w:rsidDel="00000000" w:rsidP="00000000" w:rsidRDefault="00000000" w:rsidRPr="00000000" w14:paraId="0000002B">
      <w:pPr>
        <w:pageBreakBefore w:val="0"/>
        <w:numPr>
          <w:ilvl w:val="0"/>
          <w:numId w:val="1"/>
        </w:numPr>
        <w:spacing w:after="0" w:afterAutospacing="0" w:before="0" w:beforeAutospacing="0" w:lineRule="auto"/>
        <w:ind w:left="1440" w:right="732"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the case of a poll taken more than 48 hours after it is demanded: at least 24 hours before the time appointed for the taking of the poll; or</w:t>
        <w:br w:type="textWrapping"/>
        <w:t xml:space="preserve">In the case of a poll not taken at the meeting but taken within 48 hours after it is demanded: at the meeting at which the poll was demanded, by delivering the form to the chair of the meeting or to the Secretary or to any Trustee.</w:t>
      </w:r>
    </w:p>
    <w:p w:rsidR="00000000" w:rsidDel="00000000" w:rsidP="00000000" w:rsidRDefault="00000000" w:rsidRPr="00000000" w14:paraId="0000002C">
      <w:pPr>
        <w:pageBreakBefore w:val="0"/>
        <w:numPr>
          <w:ilvl w:val="0"/>
          <w:numId w:val="1"/>
        </w:numPr>
        <w:spacing w:before="0" w:beforeAutospacing="0" w:lineRule="auto"/>
        <w:ind w:left="1440" w:right="732"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And an instrument of proxy which is not so delivered shall be invalid.</w:t>
        <w:br w:type="textWrapping"/>
        <w:t xml:space="preserve">A vote given or poll demanded by proxy shall be valid notwithstanding the previous termination of the authority of the person voting or demanding a poll unless notice of the termination was received by the Charity before the commencement of the meeting or adjourned meeting at which the vote is given or the poll demanded or (in the case of a poll taken otherwise than on the same day as the meeting or adjourned meeting) the time appointed for taking the poll.</w:t>
      </w:r>
    </w:p>
    <w:p w:rsidR="00000000" w:rsidDel="00000000" w:rsidP="00000000" w:rsidRDefault="00000000" w:rsidRPr="00000000" w14:paraId="0000002D">
      <w:pPr>
        <w:pageBreakBefore w:val="0"/>
        <w:spacing w:before="16" w:lineRule="auto"/>
        <w:ind w:left="0" w:right="732" w:firstLine="0"/>
        <w:rPr>
          <w:rFonts w:ascii="Open Sans" w:cs="Open Sans" w:eastAsia="Open Sans" w:hAnsi="Open Sans"/>
          <w:sz w:val="22"/>
          <w:szCs w:val="22"/>
        </w:rPr>
      </w:pPr>
      <w:r w:rsidDel="00000000" w:rsidR="00000000" w:rsidRPr="00000000">
        <w:rPr>
          <w:rtl w:val="0"/>
        </w:rPr>
      </w:r>
    </w:p>
    <w:sectPr>
      <w:headerReference r:id="rId6" w:type="default"/>
      <w:footerReference r:id="rId7" w:type="default"/>
      <w:pgSz w:h="16840" w:w="11920" w:orient="portrait"/>
      <w:pgMar w:bottom="278" w:top="2268" w:left="403" w:right="44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spacing w:before="36" w:lineRule="auto"/>
      <w:ind w:left="164" w:firstLine="0"/>
      <w:rPr>
        <w:rFonts w:ascii="Open Sans" w:cs="Open Sans" w:eastAsia="Open Sans" w:hAnsi="Open Sans"/>
        <w:sz w:val="16"/>
        <w:szCs w:val="16"/>
      </w:rPr>
    </w:pPr>
    <w:r w:rsidDel="00000000" w:rsidR="00000000" w:rsidRPr="00000000">
      <w:rPr>
        <w:rFonts w:ascii="Open Sans" w:cs="Open Sans" w:eastAsia="Open Sans" w:hAnsi="Open Sans"/>
        <w:color w:val="08548c"/>
        <w:sz w:val="16"/>
        <w:szCs w:val="16"/>
        <w:rtl w:val="0"/>
      </w:rPr>
      <w:t xml:space="preserve">Charity registration number 1106631. Charitable company limited by guarantee. Registered in England and </w:t>
    </w:r>
    <w:r w:rsidDel="00000000" w:rsidR="00000000" w:rsidRPr="00000000">
      <w:rPr>
        <w:rtl w:val="0"/>
      </w:rPr>
    </w:r>
  </w:p>
  <w:p w:rsidR="00000000" w:rsidDel="00000000" w:rsidP="00000000" w:rsidRDefault="00000000" w:rsidRPr="00000000" w14:paraId="00000030">
    <w:pPr>
      <w:pageBreakBefore w:val="0"/>
      <w:spacing w:before="16" w:lineRule="auto"/>
      <w:ind w:left="164" w:firstLine="0"/>
      <w:rPr>
        <w:rFonts w:ascii="Open Sans" w:cs="Open Sans" w:eastAsia="Open Sans" w:hAnsi="Open Sans"/>
        <w:color w:val="08548c"/>
        <w:sz w:val="16"/>
        <w:szCs w:val="16"/>
      </w:rPr>
    </w:pPr>
    <w:r w:rsidDel="00000000" w:rsidR="00000000" w:rsidRPr="00000000">
      <w:rPr>
        <w:rFonts w:ascii="Open Sans" w:cs="Open Sans" w:eastAsia="Open Sans" w:hAnsi="Open Sans"/>
        <w:color w:val="08548c"/>
        <w:sz w:val="16"/>
        <w:szCs w:val="16"/>
        <w:rtl w:val="0"/>
      </w:rPr>
      <w:t xml:space="preserve">Wales:  Number 5252247. Authorised and regulated by the Financial Conduct Authority FRN: 617786.</w:t>
    </w:r>
  </w:p>
  <w:p w:rsidR="00000000" w:rsidDel="00000000" w:rsidP="00000000" w:rsidRDefault="00000000" w:rsidRPr="00000000" w14:paraId="00000031">
    <w:pPr>
      <w:pageBreakBefore w:val="0"/>
      <w:spacing w:before="16" w:lineRule="auto"/>
      <w:ind w:left="164" w:firstLine="0"/>
      <w:rPr>
        <w:rFonts w:ascii="Open Sans" w:cs="Open Sans" w:eastAsia="Open Sans" w:hAnsi="Open Sans"/>
        <w:color w:val="08548c"/>
        <w:sz w:val="16"/>
        <w:szCs w:val="16"/>
      </w:rPr>
    </w:pPr>
    <w:r w:rsidDel="00000000" w:rsidR="00000000" w:rsidRPr="00000000">
      <w:rPr>
        <w:rtl w:val="0"/>
      </w:rPr>
    </w:r>
  </w:p>
  <w:p w:rsidR="00000000" w:rsidDel="00000000" w:rsidP="00000000" w:rsidRDefault="00000000" w:rsidRPr="00000000" w14:paraId="00000032">
    <w:pPr>
      <w:pageBreakBefore w:val="0"/>
      <w:spacing w:before="16" w:lineRule="auto"/>
      <w:ind w:left="0" w:firstLine="0"/>
      <w:rPr>
        <w:rFonts w:ascii="Open Sans" w:cs="Open Sans" w:eastAsia="Open Sans" w:hAnsi="Open Sans"/>
        <w:color w:val="08548c"/>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spacing w:before="799" w:lineRule="auto"/>
      <w:ind w:right="11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color w:val="08548c"/>
        <w:sz w:val="24"/>
        <w:szCs w:val="24"/>
        <w:rtl w:val="0"/>
      </w:rPr>
      <w:t xml:space="preserve">Registered Office:</w:t>
      <w:br w:type="textWrapping"/>
      <w:t xml:space="preserve">10 Hamilton Terrace </w:t>
      <w:br w:type="textWrapping"/>
      <w:t xml:space="preserve">Leamington Spa </w:t>
      <w:br w:type="textWrapping"/>
      <w:t xml:space="preserve">Warwickshire </w:t>
    </w:r>
    <w:r w:rsidDel="00000000" w:rsidR="00000000" w:rsidRPr="00000000">
      <w:rPr>
        <w:rFonts w:ascii="Open Sans" w:cs="Open Sans" w:eastAsia="Open Sans" w:hAnsi="Open Sans"/>
        <w:b w:val="1"/>
        <w:color w:val="08548c"/>
        <w:sz w:val="24"/>
        <w:szCs w:val="24"/>
        <w:rtl w:val="0"/>
      </w:rPr>
      <w:br w:type="textWrapping"/>
    </w:r>
    <w:r w:rsidDel="00000000" w:rsidR="00000000" w:rsidRPr="00000000">
      <w:rPr>
        <w:rFonts w:ascii="Open Sans" w:cs="Open Sans" w:eastAsia="Open Sans" w:hAnsi="Open Sans"/>
        <w:color w:val="08548c"/>
        <w:sz w:val="24"/>
        <w:szCs w:val="24"/>
        <w:rtl w:val="0"/>
      </w:rPr>
      <w:t xml:space="preserve">CV32 4LY</w:t>
    </w:r>
    <w:r w:rsidDel="00000000" w:rsidR="00000000" w:rsidRPr="00000000">
      <w:rPr>
        <w:rFonts w:ascii="Open Sans" w:cs="Open Sans" w:eastAsia="Open Sans" w:hAnsi="Open Sans"/>
        <w:sz w:val="24"/>
        <w:szCs w:val="24"/>
        <w:rtl w:val="0"/>
      </w:rPr>
      <w:br w:type="textWrapping"/>
      <w:br w:type="textWrapping"/>
    </w:r>
    <w:r w:rsidDel="00000000" w:rsidR="00000000" w:rsidRPr="00000000">
      <w:rPr>
        <w:rFonts w:ascii="Open Sans" w:cs="Open Sans" w:eastAsia="Open Sans" w:hAnsi="Open Sans"/>
        <w:b w:val="1"/>
        <w:color w:val="08548c"/>
        <w:sz w:val="24"/>
        <w:szCs w:val="24"/>
        <w:rtl w:val="0"/>
      </w:rPr>
      <w:t xml:space="preserve">citizensadvice.org.uk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342900</wp:posOffset>
          </wp:positionV>
          <wp:extent cx="3072130" cy="1116330"/>
          <wp:effectExtent b="0" l="0" r="0" t="0"/>
          <wp:wrapSquare wrapText="bothSides" distB="0" distT="0" distL="0" distR="0"/>
          <wp:docPr descr="Copy of inhouse_blue_small_South-Warwickshire.png" id="1" name="image1.png"/>
          <a:graphic>
            <a:graphicData uri="http://schemas.openxmlformats.org/drawingml/2006/picture">
              <pic:pic>
                <pic:nvPicPr>
                  <pic:cNvPr descr="Copy of inhouse_blue_small_South-Warwickshire.png" id="0" name="image1.png"/>
                  <pic:cNvPicPr preferRelativeResize="0"/>
                </pic:nvPicPr>
                <pic:blipFill>
                  <a:blip r:embed="rId1"/>
                  <a:srcRect b="0" l="2" r="2" t="0"/>
                  <a:stretch>
                    <a:fillRect/>
                  </a:stretch>
                </pic:blipFill>
                <pic:spPr>
                  <a:xfrm>
                    <a:off x="0" y="0"/>
                    <a:ext cx="3072130" cy="11163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pageBreakBefore w:val="0"/>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